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4C" w:rsidRPr="00C44BA6" w:rsidRDefault="00F2534C" w:rsidP="002B1813">
      <w:pPr>
        <w:ind w:left="993"/>
        <w:jc w:val="center"/>
        <w:rPr>
          <w:rFonts w:ascii="Calibri" w:hAnsi="Calibri"/>
          <w:color w:val="002060"/>
          <w:sz w:val="28"/>
          <w:szCs w:val="28"/>
        </w:rPr>
      </w:pPr>
    </w:p>
    <w:p w:rsidR="00FF103D" w:rsidRPr="00C44BA6" w:rsidRDefault="00F2534C" w:rsidP="00FF103D">
      <w:pPr>
        <w:ind w:left="993"/>
        <w:jc w:val="center"/>
        <w:rPr>
          <w:rStyle w:val="Enfasigrassetto"/>
          <w:rFonts w:ascii="Calibri" w:eastAsia="Calibri" w:hAnsi="Calibri"/>
          <w:b w:val="0"/>
          <w:color w:val="002060"/>
          <w:sz w:val="24"/>
          <w:szCs w:val="24"/>
        </w:rPr>
      </w:pPr>
      <w:r w:rsidRPr="00C44BA6">
        <w:rPr>
          <w:rStyle w:val="Enfasigrassetto"/>
          <w:rFonts w:ascii="Calibri" w:eastAsia="Calibri" w:hAnsi="Calibri"/>
          <w:b w:val="0"/>
          <w:color w:val="002060"/>
          <w:sz w:val="24"/>
          <w:szCs w:val="24"/>
        </w:rPr>
        <w:t xml:space="preserve">Dopo </w:t>
      </w:r>
      <w:r w:rsidR="00C44BA6" w:rsidRPr="00C44BA6">
        <w:rPr>
          <w:rStyle w:val="Enfasigrassetto"/>
          <w:rFonts w:ascii="Calibri" w:eastAsia="Calibri" w:hAnsi="Calibri"/>
          <w:b w:val="0"/>
          <w:color w:val="002060"/>
          <w:sz w:val="24"/>
          <w:szCs w:val="24"/>
        </w:rPr>
        <w:t xml:space="preserve">la </w:t>
      </w:r>
      <w:r w:rsidR="00C44BA6" w:rsidRPr="00C44BA6">
        <w:rPr>
          <w:rFonts w:ascii="Calibri" w:hAnsi="Calibri"/>
          <w:color w:val="002060"/>
          <w:sz w:val="24"/>
          <w:szCs w:val="24"/>
        </w:rPr>
        <w:t xml:space="preserve">pronuncia del TAR Lazio che aveva </w:t>
      </w:r>
      <w:r w:rsidRPr="00C44BA6">
        <w:rPr>
          <w:rStyle w:val="Enfasigrassetto"/>
          <w:rFonts w:ascii="Calibri" w:eastAsia="Calibri" w:hAnsi="Calibri"/>
          <w:b w:val="0"/>
          <w:color w:val="002060"/>
          <w:sz w:val="24"/>
          <w:szCs w:val="24"/>
        </w:rPr>
        <w:t>respinto il ricorso dell’OMCeO</w:t>
      </w:r>
    </w:p>
    <w:p w:rsidR="00C44BA6" w:rsidRDefault="004147D5" w:rsidP="004147D5">
      <w:pPr>
        <w:ind w:left="993"/>
        <w:jc w:val="center"/>
        <w:rPr>
          <w:rFonts w:ascii="Calibri" w:hAnsi="Calibri"/>
          <w:b/>
          <w:color w:val="002060"/>
          <w:sz w:val="24"/>
          <w:szCs w:val="24"/>
        </w:rPr>
      </w:pPr>
      <w:r w:rsidRPr="004147D5">
        <w:rPr>
          <w:rFonts w:ascii="Calibri" w:hAnsi="Calibri"/>
          <w:b/>
          <w:color w:val="002060"/>
          <w:sz w:val="24"/>
          <w:szCs w:val="24"/>
        </w:rPr>
        <w:t xml:space="preserve">“SEE&amp;TREAT”, L’ORDINE DEI MEDICI DI ROMA </w:t>
      </w:r>
      <w:r w:rsidR="00C44BA6">
        <w:rPr>
          <w:rFonts w:ascii="Calibri" w:hAnsi="Calibri"/>
          <w:b/>
          <w:color w:val="002060"/>
          <w:sz w:val="24"/>
          <w:szCs w:val="24"/>
        </w:rPr>
        <w:t>RICORRE AL CONSIGLIO DI STATO:</w:t>
      </w:r>
    </w:p>
    <w:p w:rsidR="00C44BA6" w:rsidRDefault="00C44BA6" w:rsidP="004147D5">
      <w:pPr>
        <w:ind w:left="993"/>
        <w:jc w:val="center"/>
        <w:rPr>
          <w:rFonts w:ascii="Calibri" w:hAnsi="Calibri" w:cs="Calibri"/>
          <w:b/>
          <w:iCs/>
          <w:color w:val="002060"/>
          <w:sz w:val="24"/>
          <w:szCs w:val="24"/>
        </w:rPr>
      </w:pPr>
      <w:r>
        <w:rPr>
          <w:rFonts w:ascii="Calibri" w:hAnsi="Calibri" w:cs="Calibri"/>
          <w:b/>
          <w:iCs/>
          <w:color w:val="002060"/>
          <w:sz w:val="24"/>
          <w:szCs w:val="24"/>
        </w:rPr>
        <w:t>“RIBADITE LE IPOTESI DI ESERCIZIO ARBITRARIO DI PROFESSIONE E DI FALSO IDEOLOGICO”</w:t>
      </w:r>
    </w:p>
    <w:p w:rsidR="00F2534C" w:rsidRDefault="00F2534C" w:rsidP="00E06DD5">
      <w:pPr>
        <w:spacing w:after="240"/>
        <w:ind w:left="993"/>
        <w:jc w:val="center"/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</w:pPr>
      <w:r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 xml:space="preserve">Lavra: </w:t>
      </w:r>
      <w:r w:rsidR="00455221"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>“</w:t>
      </w:r>
      <w:r w:rsidR="00C44BA6"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>Abbiamo il dovere istituzionale di garantire la tutela del</w:t>
      </w:r>
      <w:r w:rsidR="00D71D2F"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 xml:space="preserve">la salute </w:t>
      </w:r>
      <w:bookmarkStart w:id="0" w:name="_GoBack"/>
      <w:bookmarkEnd w:id="0"/>
      <w:r w:rsidR="00D71D2F"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>della collettività</w:t>
      </w:r>
      <w:r>
        <w:rPr>
          <w:rStyle w:val="Enfasigrassetto"/>
          <w:rFonts w:ascii="Calibri" w:eastAsia="Calibri" w:hAnsi="Calibri"/>
          <w:b w:val="0"/>
          <w:i/>
          <w:color w:val="002060"/>
          <w:sz w:val="24"/>
          <w:szCs w:val="24"/>
        </w:rPr>
        <w:t>”</w:t>
      </w:r>
    </w:p>
    <w:p w:rsidR="005531FC" w:rsidRPr="00C44BA6" w:rsidRDefault="002B3BF0" w:rsidP="00C44BA6">
      <w:pPr>
        <w:spacing w:before="100" w:beforeAutospacing="1" w:after="240" w:line="276" w:lineRule="auto"/>
        <w:ind w:left="993"/>
        <w:jc w:val="both"/>
        <w:rPr>
          <w:rFonts w:ascii="Calibri" w:hAnsi="Calibri" w:cs="Calibri"/>
          <w:iCs/>
          <w:color w:val="002060"/>
          <w:sz w:val="23"/>
          <w:szCs w:val="23"/>
        </w:rPr>
      </w:pPr>
      <w:r w:rsidRPr="00C44BA6">
        <w:rPr>
          <w:rFonts w:ascii="Calibri" w:hAnsi="Calibri" w:cs="Calibri"/>
          <w:iCs/>
          <w:color w:val="002060"/>
          <w:sz w:val="23"/>
          <w:szCs w:val="23"/>
        </w:rPr>
        <w:t>Il Consiglio direttivo dell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’</w:t>
      </w:r>
      <w:r w:rsidR="004147D5" w:rsidRPr="00C44BA6">
        <w:rPr>
          <w:rFonts w:ascii="Calibri" w:hAnsi="Calibri" w:cs="Calibri"/>
          <w:b/>
          <w:iCs/>
          <w:color w:val="002060"/>
          <w:sz w:val="23"/>
          <w:szCs w:val="23"/>
        </w:rPr>
        <w:t>Ordine provinciale di Roma dei Medici-Chirurghi e degli Odontoiatri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, 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>(</w:t>
      </w:r>
      <w:r w:rsidR="008213AC" w:rsidRPr="008213AC">
        <w:rPr>
          <w:rFonts w:ascii="Calibri" w:hAnsi="Calibri" w:cs="Calibri"/>
          <w:b/>
          <w:iCs/>
          <w:color w:val="002060"/>
          <w:sz w:val="23"/>
          <w:szCs w:val="23"/>
        </w:rPr>
        <w:t>OMCeO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) 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riunitosi ieri sera, ha deliberato di ricorrere al </w:t>
      </w:r>
      <w:r w:rsidRPr="00C44BA6">
        <w:rPr>
          <w:rFonts w:ascii="Calibri" w:hAnsi="Calibri" w:cs="Calibri"/>
          <w:b/>
          <w:iCs/>
          <w:color w:val="002060"/>
          <w:sz w:val="23"/>
          <w:szCs w:val="23"/>
        </w:rPr>
        <w:t>Consiglio di Stato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 avverso la sentenza 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della Sezione 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>T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erza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Q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uater del </w:t>
      </w:r>
      <w:r w:rsidR="004147D5" w:rsidRPr="00C44BA6">
        <w:rPr>
          <w:rFonts w:ascii="Calibri" w:hAnsi="Calibri" w:cs="Calibri"/>
          <w:b/>
          <w:iCs/>
          <w:color w:val="002060"/>
          <w:sz w:val="23"/>
          <w:szCs w:val="23"/>
        </w:rPr>
        <w:t>TAR LAZIO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</w:t>
      </w:r>
      <w:r w:rsidR="002536E3" w:rsidRPr="00C44BA6">
        <w:rPr>
          <w:rFonts w:ascii="Calibri" w:hAnsi="Calibri" w:cs="Calibri"/>
          <w:iCs/>
          <w:color w:val="002060"/>
          <w:sz w:val="23"/>
          <w:szCs w:val="23"/>
        </w:rPr>
        <w:t xml:space="preserve">n. 10411 del 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>19/10/16 che ha respinto la richiesta dello stesso Ordine di annullare la deliberazione dell’</w:t>
      </w:r>
      <w:r w:rsidRPr="00C44BA6">
        <w:rPr>
          <w:rFonts w:ascii="Calibri" w:hAnsi="Calibri" w:cs="Calibri"/>
          <w:b/>
          <w:iCs/>
          <w:color w:val="002060"/>
          <w:sz w:val="23"/>
          <w:szCs w:val="23"/>
        </w:rPr>
        <w:t xml:space="preserve">ASL-RMC 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del 20 marzo 2015 </w:t>
      </w:r>
      <w:r w:rsidR="00B11BE9">
        <w:rPr>
          <w:rFonts w:ascii="Calibri" w:hAnsi="Calibri" w:cs="Calibri"/>
          <w:iCs/>
          <w:color w:val="002060"/>
          <w:sz w:val="23"/>
          <w:szCs w:val="23"/>
        </w:rPr>
        <w:t xml:space="preserve">con cui è stata </w:t>
      </w:r>
      <w:r w:rsidR="005531FC" w:rsidRPr="00C44BA6">
        <w:rPr>
          <w:rFonts w:ascii="Calibri" w:hAnsi="Calibri" w:cs="Calibri"/>
          <w:iCs/>
          <w:color w:val="002060"/>
          <w:sz w:val="23"/>
          <w:szCs w:val="23"/>
        </w:rPr>
        <w:t>dispost</w:t>
      </w:r>
      <w:r w:rsidR="00B11BE9">
        <w:rPr>
          <w:rFonts w:ascii="Calibri" w:hAnsi="Calibri" w:cs="Calibri"/>
          <w:iCs/>
          <w:color w:val="002060"/>
          <w:sz w:val="23"/>
          <w:szCs w:val="23"/>
        </w:rPr>
        <w:t>a</w:t>
      </w:r>
      <w:r w:rsidR="005531FC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l’attivazione di ambulatori infermieristici sul modello anglosassone del 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“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See and Treat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”</w:t>
      </w:r>
      <w:r w:rsidR="005531FC" w:rsidRPr="00C44BA6">
        <w:rPr>
          <w:rFonts w:ascii="Calibri" w:hAnsi="Calibri" w:cs="Calibri"/>
          <w:iCs/>
          <w:color w:val="002060"/>
          <w:sz w:val="23"/>
          <w:szCs w:val="23"/>
        </w:rPr>
        <w:t>.</w:t>
      </w:r>
    </w:p>
    <w:p w:rsidR="00DA05CB" w:rsidRPr="00C44BA6" w:rsidRDefault="005531FC" w:rsidP="00C44BA6">
      <w:pPr>
        <w:spacing w:before="100" w:beforeAutospacing="1" w:after="240" w:line="276" w:lineRule="auto"/>
        <w:ind w:left="993"/>
        <w:jc w:val="both"/>
        <w:rPr>
          <w:rFonts w:ascii="Calibri" w:hAnsi="Calibri" w:cs="Calibri"/>
          <w:iCs/>
          <w:color w:val="002060"/>
          <w:sz w:val="23"/>
          <w:szCs w:val="23"/>
        </w:rPr>
      </w:pPr>
      <w:r w:rsidRPr="00C44BA6">
        <w:rPr>
          <w:rFonts w:ascii="Calibri" w:hAnsi="Calibri" w:cs="Calibri"/>
          <w:iCs/>
          <w:color w:val="002060"/>
          <w:sz w:val="23"/>
          <w:szCs w:val="23"/>
        </w:rPr>
        <w:t>Il Consiglio dell’Ordine capitolino, previo attento esame anche da parte di esperti legali, ha ritenuto la sentenza censurabile sotto molteplici e rilevanti profili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>. Tra questi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, ad esempio, la violazione della figura di garanzia rivestita dal medico a </w:t>
      </w:r>
      <w:r w:rsidR="00EF012F">
        <w:rPr>
          <w:rFonts w:ascii="Calibri" w:hAnsi="Calibri" w:cs="Calibri"/>
          <w:iCs/>
          <w:color w:val="002060"/>
          <w:sz w:val="23"/>
          <w:szCs w:val="23"/>
        </w:rPr>
        <w:t>tutela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 del paziente e della sanità pubblica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, con 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>l’improprio affidamento di competenze</w:t>
      </w:r>
      <w:r w:rsidR="00EF012F">
        <w:rPr>
          <w:rFonts w:ascii="Calibri" w:hAnsi="Calibri" w:cs="Calibri"/>
          <w:iCs/>
          <w:color w:val="002060"/>
          <w:sz w:val="23"/>
          <w:szCs w:val="23"/>
        </w:rPr>
        <w:t>,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 esclusive della professione medica</w:t>
      </w:r>
      <w:r w:rsidR="00EF012F">
        <w:rPr>
          <w:rFonts w:ascii="Calibri" w:hAnsi="Calibri" w:cs="Calibri"/>
          <w:iCs/>
          <w:color w:val="002060"/>
          <w:sz w:val="23"/>
          <w:szCs w:val="23"/>
        </w:rPr>
        <w:t>,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 ad altre professione sanitarie nell’ambito delle cosiddette urgenze minori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 xml:space="preserve">. Nello specifico dell’operatività viene poi contestata la certificazione </w:t>
      </w:r>
      <w:r w:rsidR="00DA05CB" w:rsidRPr="00C44BA6">
        <w:rPr>
          <w:rFonts w:ascii="Calibri" w:hAnsi="Calibri" w:cs="Calibri"/>
          <w:i/>
          <w:iCs/>
          <w:color w:val="002060"/>
          <w:sz w:val="23"/>
          <w:szCs w:val="23"/>
        </w:rPr>
        <w:t>ex post</w:t>
      </w:r>
      <w:r w:rsidR="008213AC">
        <w:rPr>
          <w:rFonts w:ascii="Calibri" w:hAnsi="Calibri" w:cs="Calibri"/>
          <w:i/>
          <w:iCs/>
          <w:color w:val="002060"/>
          <w:sz w:val="23"/>
          <w:szCs w:val="23"/>
        </w:rPr>
        <w:t>,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>e addirittura in remot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>o,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 xml:space="preserve">da parte del medico - senza che questo abbia prima visitato il paziente - del trattamento attuato </w:t>
      </w:r>
      <w:r w:rsidR="00EF012F">
        <w:rPr>
          <w:rFonts w:ascii="Calibri" w:hAnsi="Calibri" w:cs="Calibri"/>
          <w:iCs/>
          <w:color w:val="002060"/>
          <w:sz w:val="23"/>
          <w:szCs w:val="23"/>
        </w:rPr>
        <w:t xml:space="preserve">in via autonoma 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 xml:space="preserve">dall’infermiere, con conseguente ipotesi di reato di falso ideologico. Tutto ciò delineando – secondo l’Ordine di Roma – 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 xml:space="preserve">anche </w:t>
      </w:r>
      <w:r w:rsidR="00DA05CB" w:rsidRPr="00C44BA6">
        <w:rPr>
          <w:rFonts w:ascii="Calibri" w:hAnsi="Calibri" w:cs="Calibri"/>
          <w:iCs/>
          <w:color w:val="002060"/>
          <w:sz w:val="23"/>
          <w:szCs w:val="23"/>
        </w:rPr>
        <w:t>l’ipotesi di esercizio arbitrario di professione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>. In c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>onsidera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zione della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 xml:space="preserve">rilevanza 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che l’oggetto del ricorso può rivestire su tutto il territorio nazionale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>l’O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rdine della Capitale ha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>interessa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to della questione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 xml:space="preserve">la 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propria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 xml:space="preserve">Federazione 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>nazionale (</w:t>
      </w:r>
      <w:r w:rsidR="008213AC" w:rsidRPr="008213AC">
        <w:rPr>
          <w:rFonts w:ascii="Calibri" w:hAnsi="Calibri" w:cs="Calibri"/>
          <w:b/>
          <w:iCs/>
          <w:color w:val="002060"/>
          <w:sz w:val="23"/>
          <w:szCs w:val="23"/>
        </w:rPr>
        <w:t>FNOMCeO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 xml:space="preserve">) e tutti 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 xml:space="preserve">gli altri 105 </w:t>
      </w:r>
      <w:r w:rsidR="008213AC">
        <w:rPr>
          <w:rFonts w:ascii="Calibri" w:hAnsi="Calibri" w:cs="Calibri"/>
          <w:iCs/>
          <w:color w:val="002060"/>
          <w:sz w:val="23"/>
          <w:szCs w:val="23"/>
        </w:rPr>
        <w:t>Ordini provinciali dei medici.</w:t>
      </w:r>
      <w:r w:rsidR="00AE581A">
        <w:rPr>
          <w:rFonts w:ascii="Calibri" w:hAnsi="Calibri" w:cs="Calibri"/>
          <w:iCs/>
          <w:color w:val="002060"/>
          <w:sz w:val="23"/>
          <w:szCs w:val="23"/>
        </w:rPr>
        <w:t xml:space="preserve">  </w:t>
      </w:r>
    </w:p>
    <w:p w:rsidR="00C44BA6" w:rsidRPr="00C44BA6" w:rsidRDefault="002536E3" w:rsidP="00C44BA6">
      <w:pPr>
        <w:spacing w:line="276" w:lineRule="auto"/>
        <w:ind w:left="993"/>
        <w:jc w:val="both"/>
        <w:rPr>
          <w:rFonts w:ascii="Calibri" w:hAnsi="Calibri" w:cs="Calibri"/>
          <w:iCs/>
          <w:color w:val="002060"/>
          <w:sz w:val="23"/>
          <w:szCs w:val="23"/>
        </w:rPr>
      </w:pPr>
      <w:r w:rsidRPr="00C44BA6">
        <w:rPr>
          <w:rFonts w:ascii="Calibri" w:hAnsi="Calibri" w:cs="Calibri"/>
          <w:iCs/>
          <w:color w:val="002060"/>
          <w:sz w:val="23"/>
          <w:szCs w:val="23"/>
        </w:rPr>
        <w:t xml:space="preserve"> 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“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Come avevamo annunciato a ridosso della pubblicazione della sentenza, </w:t>
      </w:r>
      <w:r w:rsidR="00B11BE9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da subito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>l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e motivazioni addotte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dal TAR nel respingere il nostro ricorso iniziale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non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ci sono apparse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convincenti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. Per questo le abbiamo sottoposte ad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>un’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attenta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osservazion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>e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>,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avvalendoci </w:t>
      </w:r>
      <w:r w:rsidR="00EF012F">
        <w:rPr>
          <w:rFonts w:ascii="Calibri" w:hAnsi="Calibri" w:cs="Calibri"/>
          <w:i/>
          <w:iCs/>
          <w:color w:val="002060"/>
          <w:sz w:val="23"/>
          <w:szCs w:val="23"/>
        </w:rPr>
        <w:t xml:space="preserve">di un collegio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di </w:t>
      </w:r>
      <w:r w:rsidR="008213AC">
        <w:rPr>
          <w:rFonts w:ascii="Calibri" w:hAnsi="Calibri" w:cs="Calibri"/>
          <w:i/>
          <w:iCs/>
          <w:color w:val="002060"/>
          <w:sz w:val="23"/>
          <w:szCs w:val="23"/>
        </w:rPr>
        <w:t xml:space="preserve">esperti </w:t>
      </w:r>
      <w:r w:rsidR="00EF012F">
        <w:rPr>
          <w:rFonts w:ascii="Calibri" w:hAnsi="Calibri" w:cs="Calibri"/>
          <w:i/>
          <w:iCs/>
          <w:color w:val="002060"/>
          <w:sz w:val="23"/>
          <w:szCs w:val="23"/>
        </w:rPr>
        <w:t>particolarmente q</w:t>
      </w:r>
      <w:r w:rsidR="00AE581A">
        <w:rPr>
          <w:rFonts w:ascii="Calibri" w:hAnsi="Calibri" w:cs="Calibri"/>
          <w:i/>
          <w:iCs/>
          <w:color w:val="002060"/>
          <w:sz w:val="23"/>
          <w:szCs w:val="23"/>
        </w:rPr>
        <w:t>ualificati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”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, </w:t>
      </w:r>
      <w:r w:rsidRPr="00C44BA6">
        <w:rPr>
          <w:rFonts w:ascii="Calibri" w:hAnsi="Calibri" w:cs="Calibri"/>
          <w:iCs/>
          <w:color w:val="002060"/>
          <w:sz w:val="23"/>
          <w:szCs w:val="23"/>
        </w:rPr>
        <w:t>ricorda il p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residente dei camici bianchi </w:t>
      </w:r>
      <w:r w:rsidR="00B11BE9">
        <w:rPr>
          <w:rFonts w:ascii="Calibri" w:hAnsi="Calibri" w:cs="Calibri"/>
          <w:iCs/>
          <w:color w:val="002060"/>
          <w:sz w:val="23"/>
          <w:szCs w:val="23"/>
        </w:rPr>
        <w:t>romani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 xml:space="preserve">, </w:t>
      </w:r>
      <w:r w:rsidR="004147D5" w:rsidRPr="00C44BA6">
        <w:rPr>
          <w:rFonts w:ascii="Calibri" w:hAnsi="Calibri" w:cs="Calibri"/>
          <w:b/>
          <w:iCs/>
          <w:color w:val="002060"/>
          <w:sz w:val="23"/>
          <w:szCs w:val="23"/>
        </w:rPr>
        <w:t>Giuseppe Lavra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.</w:t>
      </w:r>
      <w:r w:rsidR="004147D5" w:rsidRPr="00C44BA6">
        <w:rPr>
          <w:rFonts w:ascii="Calibri" w:hAnsi="Calibri" w:cs="Calibri"/>
          <w:b/>
          <w:iCs/>
          <w:color w:val="002060"/>
          <w:sz w:val="23"/>
          <w:szCs w:val="23"/>
        </w:rPr>
        <w:t xml:space="preserve">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“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Da questo esame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>sono state confermate le in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>i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ziali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perplessità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prima di tutto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sulla legittimità della controfirma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 posteriori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del medico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su quanto deciso e attuato dall’infermiere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,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parallelamente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 quelle sulla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corretta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identificazione delle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reali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urgenze minor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>i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>. Perplessità emerse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, peraltro,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anche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sulla congruità del richiamo alla sentenza di Cassazione Sez. IV 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>n. 11601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1</w:t>
      </w:r>
      <w:r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del 1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ottobre 2014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circa il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richiamo alle modalità di redazione della certificazione medica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.</w:t>
      </w:r>
      <w:r w:rsidR="00F2534C" w:rsidRPr="00C44BA6">
        <w:rPr>
          <w:rFonts w:ascii="Calibri" w:hAnsi="Calibri" w:cs="Calibri"/>
          <w:iCs/>
          <w:color w:val="002060"/>
          <w:sz w:val="23"/>
          <w:szCs w:val="23"/>
        </w:rPr>
        <w:t xml:space="preserve">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Ma </w:t>
      </w:r>
      <w:r w:rsidR="00C44BA6" w:rsidRPr="00C44BA6">
        <w:rPr>
          <w:rFonts w:ascii="Calibri" w:hAnsi="Calibri" w:cs="Calibri"/>
          <w:iCs/>
          <w:color w:val="002060"/>
          <w:sz w:val="23"/>
          <w:szCs w:val="23"/>
        </w:rPr>
        <w:t xml:space="preserve">- sottolinea Lavra -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nel ricorrere ora al Consiglio di Stato </w:t>
      </w:r>
      <w:r w:rsidR="008213AC">
        <w:rPr>
          <w:rFonts w:ascii="Calibri" w:hAnsi="Calibri" w:cs="Calibri"/>
          <w:i/>
          <w:iCs/>
          <w:color w:val="002060"/>
          <w:sz w:val="23"/>
          <w:szCs w:val="23"/>
        </w:rPr>
        <w:t xml:space="preserve">va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>ribadi</w:t>
      </w:r>
      <w:r w:rsidR="008213AC">
        <w:rPr>
          <w:rFonts w:ascii="Calibri" w:hAnsi="Calibri" w:cs="Calibri"/>
          <w:i/>
          <w:iCs/>
          <w:color w:val="002060"/>
          <w:sz w:val="23"/>
          <w:szCs w:val="23"/>
        </w:rPr>
        <w:t xml:space="preserve">to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che tale decisione non muove, come è stato affermato 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con leggerezza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da altre posizioni, da presunti interessi della </w:t>
      </w:r>
      <w:r w:rsidR="00B11BE9">
        <w:rPr>
          <w:rFonts w:ascii="Calibri" w:hAnsi="Calibri" w:cs="Calibri"/>
          <w:i/>
          <w:iCs/>
          <w:color w:val="002060"/>
          <w:sz w:val="23"/>
          <w:szCs w:val="23"/>
        </w:rPr>
        <w:t xml:space="preserve">nostra </w:t>
      </w:r>
      <w:r w:rsidR="00F2534C" w:rsidRPr="00C44BA6">
        <w:rPr>
          <w:rFonts w:ascii="Calibri" w:hAnsi="Calibri" w:cs="Calibri"/>
          <w:i/>
          <w:iCs/>
          <w:color w:val="002060"/>
          <w:sz w:val="23"/>
          <w:szCs w:val="23"/>
        </w:rPr>
        <w:t>c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ategoria</w:t>
      </w:r>
      <w:r w:rsidR="00C44BA6" w:rsidRPr="00C44BA6">
        <w:rPr>
          <w:rFonts w:ascii="Calibri" w:hAnsi="Calibri" w:cs="Calibri"/>
          <w:i/>
          <w:iCs/>
          <w:color w:val="002060"/>
          <w:sz w:val="23"/>
          <w:szCs w:val="23"/>
        </w:rPr>
        <w:t>,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bensì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dal ruolo e dal dovere </w:t>
      </w:r>
      <w:r w:rsidR="00D71D2F">
        <w:rPr>
          <w:rFonts w:ascii="Calibri" w:hAnsi="Calibri" w:cs="Calibri"/>
          <w:i/>
          <w:iCs/>
          <w:color w:val="002060"/>
          <w:sz w:val="23"/>
          <w:szCs w:val="23"/>
        </w:rPr>
        <w:t>istituzionale e primario del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l’Ordine di garantire che la professione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>medica</w:t>
      </w:r>
      <w:r w:rsidR="00F2534C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sia sempre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esercitata </w:t>
      </w:r>
      <w:r w:rsidR="00B939D0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esclusivamente </w:t>
      </w:r>
      <w:r w:rsidR="004147D5" w:rsidRPr="00C44BA6">
        <w:rPr>
          <w:rFonts w:ascii="Calibri" w:hAnsi="Calibri" w:cs="Calibri"/>
          <w:i/>
          <w:iCs/>
          <w:color w:val="002060"/>
          <w:sz w:val="23"/>
          <w:szCs w:val="23"/>
        </w:rPr>
        <w:t xml:space="preserve">a tutela </w:t>
      </w:r>
      <w:r w:rsidR="00D71D2F">
        <w:rPr>
          <w:rFonts w:ascii="Calibri" w:hAnsi="Calibri" w:cs="Calibri"/>
          <w:i/>
          <w:iCs/>
          <w:color w:val="002060"/>
          <w:sz w:val="23"/>
          <w:szCs w:val="23"/>
        </w:rPr>
        <w:t>della salute dei cittadini</w:t>
      </w:r>
      <w:r w:rsidR="008213AC">
        <w:rPr>
          <w:rFonts w:ascii="Calibri" w:hAnsi="Calibri" w:cs="Calibri"/>
          <w:i/>
          <w:iCs/>
          <w:color w:val="002060"/>
          <w:sz w:val="23"/>
          <w:szCs w:val="23"/>
        </w:rPr>
        <w:t>, in particolare della fascia più debole di quest</w:t>
      </w:r>
      <w:r w:rsidR="00D71D2F">
        <w:rPr>
          <w:rFonts w:ascii="Calibri" w:hAnsi="Calibri" w:cs="Calibri"/>
          <w:i/>
          <w:iCs/>
          <w:color w:val="002060"/>
          <w:sz w:val="23"/>
          <w:szCs w:val="23"/>
        </w:rPr>
        <w:t>i</w:t>
      </w:r>
      <w:r w:rsidR="00F2534C" w:rsidRPr="00C44BA6">
        <w:rPr>
          <w:rFonts w:ascii="Calibri" w:hAnsi="Calibri" w:cs="Calibri"/>
          <w:i/>
          <w:iCs/>
          <w:color w:val="002060"/>
          <w:sz w:val="23"/>
          <w:szCs w:val="23"/>
        </w:rPr>
        <w:t>”</w:t>
      </w:r>
      <w:r w:rsidR="004147D5" w:rsidRPr="00C44BA6">
        <w:rPr>
          <w:rFonts w:ascii="Calibri" w:hAnsi="Calibri" w:cs="Calibri"/>
          <w:iCs/>
          <w:color w:val="002060"/>
          <w:sz w:val="23"/>
          <w:szCs w:val="23"/>
        </w:rPr>
        <w:t>.</w:t>
      </w:r>
    </w:p>
    <w:p w:rsidR="00B11BE9" w:rsidRDefault="00B11BE9" w:rsidP="00C44BA6">
      <w:pPr>
        <w:ind w:left="993"/>
        <w:jc w:val="right"/>
        <w:rPr>
          <w:rFonts w:asciiTheme="minorHAnsi" w:hAnsiTheme="minorHAnsi" w:cstheme="minorHAnsi"/>
          <w:color w:val="002060"/>
          <w:sz w:val="23"/>
          <w:szCs w:val="23"/>
        </w:rPr>
      </w:pPr>
    </w:p>
    <w:p w:rsidR="00B939D0" w:rsidRPr="00C44BA6" w:rsidRDefault="00FF103D" w:rsidP="00C44BA6">
      <w:pPr>
        <w:ind w:left="993"/>
        <w:jc w:val="right"/>
        <w:rPr>
          <w:rFonts w:asciiTheme="minorHAnsi" w:hAnsiTheme="minorHAnsi" w:cstheme="minorHAnsi"/>
          <w:color w:val="002060"/>
          <w:sz w:val="23"/>
          <w:szCs w:val="23"/>
        </w:rPr>
      </w:pPr>
      <w:r w:rsidRPr="00C44BA6">
        <w:rPr>
          <w:rFonts w:asciiTheme="minorHAnsi" w:hAnsiTheme="minorHAnsi" w:cstheme="minorHAnsi"/>
          <w:color w:val="002060"/>
          <w:sz w:val="23"/>
          <w:szCs w:val="23"/>
        </w:rPr>
        <w:t xml:space="preserve">Roma, </w:t>
      </w:r>
      <w:r w:rsidR="00C44BA6" w:rsidRPr="00C44BA6">
        <w:rPr>
          <w:rFonts w:asciiTheme="minorHAnsi" w:hAnsiTheme="minorHAnsi" w:cstheme="minorHAnsi"/>
          <w:color w:val="002060"/>
          <w:sz w:val="23"/>
          <w:szCs w:val="23"/>
        </w:rPr>
        <w:t>11</w:t>
      </w:r>
      <w:r w:rsidR="00712807" w:rsidRPr="00C44BA6">
        <w:rPr>
          <w:rFonts w:asciiTheme="minorHAnsi" w:hAnsiTheme="minorHAnsi" w:cstheme="minorHAnsi"/>
          <w:color w:val="002060"/>
          <w:sz w:val="23"/>
          <w:szCs w:val="23"/>
        </w:rPr>
        <w:t xml:space="preserve"> </w:t>
      </w:r>
      <w:r w:rsidR="00C44BA6" w:rsidRPr="00C44BA6">
        <w:rPr>
          <w:rFonts w:asciiTheme="minorHAnsi" w:hAnsiTheme="minorHAnsi" w:cstheme="minorHAnsi"/>
          <w:color w:val="002060"/>
          <w:sz w:val="23"/>
          <w:szCs w:val="23"/>
        </w:rPr>
        <w:t>novembre</w:t>
      </w:r>
      <w:r w:rsidR="00712807" w:rsidRPr="00C44BA6">
        <w:rPr>
          <w:rFonts w:asciiTheme="minorHAnsi" w:hAnsiTheme="minorHAnsi" w:cstheme="minorHAnsi"/>
          <w:color w:val="002060"/>
          <w:sz w:val="23"/>
          <w:szCs w:val="23"/>
        </w:rPr>
        <w:t xml:space="preserve"> </w:t>
      </w:r>
      <w:r w:rsidRPr="00C44BA6">
        <w:rPr>
          <w:rFonts w:asciiTheme="minorHAnsi" w:hAnsiTheme="minorHAnsi" w:cstheme="minorHAnsi"/>
          <w:color w:val="002060"/>
          <w:sz w:val="23"/>
          <w:szCs w:val="23"/>
        </w:rPr>
        <w:t>201</w:t>
      </w:r>
      <w:r w:rsidR="00712807" w:rsidRPr="00C44BA6">
        <w:rPr>
          <w:rFonts w:asciiTheme="minorHAnsi" w:hAnsiTheme="minorHAnsi" w:cstheme="minorHAnsi"/>
          <w:color w:val="002060"/>
          <w:sz w:val="23"/>
          <w:szCs w:val="23"/>
        </w:rPr>
        <w:t>6</w:t>
      </w:r>
    </w:p>
    <w:sectPr w:rsidR="00B939D0" w:rsidRPr="00C44BA6" w:rsidSect="00A96F96">
      <w:headerReference w:type="default" r:id="rId7"/>
      <w:footerReference w:type="default" r:id="rId8"/>
      <w:pgSz w:w="11906" w:h="16838"/>
      <w:pgMar w:top="2810" w:right="991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6E" w:rsidRDefault="00AE556E">
      <w:r>
        <w:separator/>
      </w:r>
    </w:p>
  </w:endnote>
  <w:endnote w:type="continuationSeparator" w:id="0">
    <w:p w:rsidR="00AE556E" w:rsidRDefault="00AE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6" w:rsidRPr="00445711" w:rsidRDefault="00372668">
    <w:pPr>
      <w:pStyle w:val="Pidipagina"/>
      <w:rPr>
        <w:rFonts w:ascii="Times New Roman" w:hAnsi="Times New Roman"/>
        <w:color w:val="003399"/>
        <w:sz w:val="16"/>
        <w:szCs w:val="16"/>
      </w:rPr>
    </w:pPr>
    <w:r>
      <w:rPr>
        <w:rFonts w:ascii="Times New Roman" w:hAnsi="Times New Roman"/>
        <w:b/>
        <w:noProof/>
        <w:color w:val="003399"/>
        <w:sz w:val="16"/>
        <w:szCs w:val="16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-3751580</wp:posOffset>
          </wp:positionV>
          <wp:extent cx="3181350" cy="3738245"/>
          <wp:effectExtent l="0" t="0" r="0" b="0"/>
          <wp:wrapNone/>
          <wp:docPr id="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73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65CE">
      <w:rPr>
        <w:rFonts w:ascii="Times New Roman" w:hAnsi="Times New Roman"/>
        <w:color w:val="1F497D"/>
        <w:sz w:val="16"/>
        <w:szCs w:val="16"/>
      </w:rPr>
      <w:tab/>
    </w:r>
    <w:r w:rsidR="00EE1C40" w:rsidRPr="00445711">
      <w:rPr>
        <w:rFonts w:ascii="Times New Roman" w:hAnsi="Times New Roman"/>
        <w:color w:val="003399"/>
        <w:sz w:val="16"/>
        <w:szCs w:val="16"/>
      </w:rPr>
      <w:fldChar w:fldCharType="begin"/>
    </w:r>
    <w:r w:rsidR="003C65CE" w:rsidRPr="00445711">
      <w:rPr>
        <w:rFonts w:ascii="Times New Roman" w:hAnsi="Times New Roman"/>
        <w:color w:val="003399"/>
        <w:sz w:val="16"/>
        <w:szCs w:val="16"/>
      </w:rPr>
      <w:instrText xml:space="preserve"> PAGE   \* MERGEFORMAT </w:instrText>
    </w:r>
    <w:r w:rsidR="00EE1C40" w:rsidRPr="00445711">
      <w:rPr>
        <w:rFonts w:ascii="Times New Roman" w:hAnsi="Times New Roman"/>
        <w:color w:val="003399"/>
        <w:sz w:val="16"/>
        <w:szCs w:val="16"/>
      </w:rPr>
      <w:fldChar w:fldCharType="separate"/>
    </w:r>
    <w:r w:rsidR="005A0DB7">
      <w:rPr>
        <w:rFonts w:ascii="Times New Roman" w:hAnsi="Times New Roman"/>
        <w:noProof/>
        <w:color w:val="003399"/>
        <w:sz w:val="16"/>
        <w:szCs w:val="16"/>
      </w:rPr>
      <w:t>1</w:t>
    </w:r>
    <w:r w:rsidR="00EE1C40" w:rsidRPr="00445711">
      <w:rPr>
        <w:rFonts w:ascii="Times New Roman" w:hAnsi="Times New Roman"/>
        <w:color w:val="003399"/>
        <w:sz w:val="16"/>
        <w:szCs w:val="16"/>
      </w:rPr>
      <w:fldChar w:fldCharType="end"/>
    </w:r>
    <w:r w:rsidR="003C65CE" w:rsidRPr="00445711">
      <w:rPr>
        <w:rFonts w:ascii="Times New Roman" w:hAnsi="Times New Roman"/>
        <w:color w:val="003399"/>
        <w:sz w:val="16"/>
        <w:szCs w:val="16"/>
      </w:rPr>
      <w:t>/</w:t>
    </w:r>
    <w:fldSimple w:instr=" NUMPAGES   \* MERGEFORMAT ">
      <w:r w:rsidR="005A0DB7" w:rsidRPr="005A0DB7">
        <w:rPr>
          <w:rFonts w:ascii="Times New Roman" w:hAnsi="Times New Roman"/>
          <w:noProof/>
          <w:color w:val="003399"/>
          <w:sz w:val="16"/>
          <w:szCs w:val="16"/>
        </w:rPr>
        <w:t>2</w:t>
      </w:r>
    </w:fldSimple>
  </w:p>
  <w:p w:rsidR="00A96F96" w:rsidRDefault="00A96F96" w:rsidP="00A96F96">
    <w:pPr>
      <w:pStyle w:val="Pidipagina"/>
      <w:ind w:left="284"/>
      <w:rPr>
        <w:rFonts w:ascii="Times New Roman" w:hAnsi="Times New Roman"/>
        <w:b/>
        <w:color w:val="003399"/>
        <w:sz w:val="18"/>
        <w:szCs w:val="18"/>
      </w:rPr>
    </w:pPr>
  </w:p>
  <w:p w:rsidR="00A96F96" w:rsidRPr="008F615A" w:rsidRDefault="003C65CE" w:rsidP="00A96F96">
    <w:pPr>
      <w:pStyle w:val="Pidipagina"/>
      <w:ind w:left="284"/>
      <w:jc w:val="center"/>
      <w:rPr>
        <w:rFonts w:ascii="Times New Roman" w:hAnsi="Times New Roman"/>
        <w:b/>
        <w:color w:val="003399"/>
        <w:sz w:val="18"/>
        <w:szCs w:val="18"/>
      </w:rPr>
    </w:pPr>
    <w:r w:rsidRPr="008F615A">
      <w:rPr>
        <w:rFonts w:ascii="Times New Roman" w:hAnsi="Times New Roman"/>
        <w:b/>
        <w:color w:val="003399"/>
        <w:sz w:val="18"/>
        <w:szCs w:val="18"/>
      </w:rPr>
      <w:t xml:space="preserve">Via Giovanni Battista De Rossi, 9 – 00161 Roma – </w:t>
    </w:r>
    <w:r>
      <w:rPr>
        <w:rFonts w:ascii="Times New Roman" w:hAnsi="Times New Roman"/>
        <w:b/>
        <w:color w:val="003399"/>
        <w:sz w:val="18"/>
        <w:szCs w:val="18"/>
      </w:rPr>
      <w:t>C.F.</w:t>
    </w:r>
    <w:r w:rsidRPr="008F615A">
      <w:rPr>
        <w:rFonts w:ascii="Times New Roman" w:hAnsi="Times New Roman"/>
        <w:b/>
        <w:color w:val="003399"/>
        <w:sz w:val="18"/>
        <w:szCs w:val="18"/>
      </w:rPr>
      <w:t xml:space="preserve"> 02604980587 </w:t>
    </w:r>
    <w:r>
      <w:rPr>
        <w:rFonts w:ascii="Times New Roman" w:hAnsi="Times New Roman"/>
        <w:b/>
        <w:color w:val="003399"/>
        <w:sz w:val="18"/>
        <w:szCs w:val="18"/>
      </w:rPr>
      <w:t xml:space="preserve">- </w:t>
    </w:r>
    <w:r w:rsidRPr="008F615A">
      <w:rPr>
        <w:rFonts w:ascii="Times New Roman" w:hAnsi="Times New Roman"/>
        <w:b/>
        <w:color w:val="003399"/>
        <w:sz w:val="18"/>
        <w:szCs w:val="18"/>
      </w:rPr>
      <w:t>Tel. 064417121 (8 linee r.a.) Fax 0644234665</w:t>
    </w:r>
  </w:p>
  <w:p w:rsidR="00A96F96" w:rsidRPr="008F615A" w:rsidRDefault="00EE1C40" w:rsidP="00A96F96">
    <w:pPr>
      <w:pStyle w:val="Pidipagina"/>
      <w:ind w:left="284"/>
      <w:jc w:val="center"/>
      <w:rPr>
        <w:rFonts w:ascii="Times New Roman" w:hAnsi="Times New Roman"/>
        <w:b/>
        <w:color w:val="003399"/>
        <w:sz w:val="18"/>
        <w:szCs w:val="18"/>
      </w:rPr>
    </w:pPr>
    <w:hyperlink r:id="rId2" w:history="1">
      <w:r w:rsidR="009341A2" w:rsidRPr="00D00C45">
        <w:rPr>
          <w:rStyle w:val="Collegamentoipertestuale"/>
          <w:rFonts w:ascii="Times New Roman" w:hAnsi="Times New Roman"/>
          <w:b/>
          <w:sz w:val="18"/>
          <w:szCs w:val="18"/>
        </w:rPr>
        <w:t>www.ordinemediciroma.it</w:t>
      </w:r>
    </w:hyperlink>
    <w:r w:rsidR="009341A2">
      <w:rPr>
        <w:rFonts w:ascii="Times New Roman" w:hAnsi="Times New Roman"/>
        <w:b/>
        <w:color w:val="003399"/>
        <w:sz w:val="18"/>
        <w:szCs w:val="18"/>
      </w:rPr>
      <w:t xml:space="preserve"> </w:t>
    </w:r>
    <w:r w:rsidR="003C65CE" w:rsidRPr="008F615A">
      <w:rPr>
        <w:rFonts w:ascii="Times New Roman" w:hAnsi="Times New Roman"/>
        <w:b/>
        <w:color w:val="003399"/>
        <w:sz w:val="18"/>
        <w:szCs w:val="18"/>
      </w:rPr>
      <w:t xml:space="preserve">E-mail: </w:t>
    </w:r>
    <w:hyperlink r:id="rId3" w:history="1">
      <w:r w:rsidR="00ED7CD9" w:rsidRPr="003907D0">
        <w:rPr>
          <w:rStyle w:val="Collegamentoipertestuale"/>
          <w:rFonts w:ascii="Times New Roman" w:hAnsi="Times New Roman"/>
          <w:b/>
          <w:sz w:val="18"/>
          <w:szCs w:val="18"/>
        </w:rPr>
        <w:t>info@ordinemediciroma.it</w:t>
      </w:r>
    </w:hyperlink>
    <w:r w:rsidR="00ED7CD9">
      <w:rPr>
        <w:rFonts w:ascii="Times New Roman" w:hAnsi="Times New Roman"/>
        <w:b/>
        <w:color w:val="003399"/>
        <w:sz w:val="18"/>
        <w:szCs w:val="18"/>
      </w:rPr>
      <w:t xml:space="preserve"> </w:t>
    </w:r>
    <w:r w:rsidR="003C65CE" w:rsidRPr="008F615A">
      <w:rPr>
        <w:rFonts w:ascii="Times New Roman" w:hAnsi="Times New Roman"/>
        <w:b/>
        <w:color w:val="003399"/>
        <w:sz w:val="18"/>
        <w:szCs w:val="18"/>
      </w:rPr>
      <w:t xml:space="preserve"> E-mail PEC: </w:t>
    </w:r>
    <w:hyperlink r:id="rId4" w:history="1">
      <w:r w:rsidR="00ED7CD9" w:rsidRPr="003907D0">
        <w:rPr>
          <w:rStyle w:val="Collegamentoipertestuale"/>
          <w:rFonts w:ascii="Times New Roman" w:hAnsi="Times New Roman"/>
          <w:b/>
          <w:sz w:val="18"/>
          <w:szCs w:val="18"/>
        </w:rPr>
        <w:t>protocollo@pec.omceoroma.it</w:t>
      </w:r>
    </w:hyperlink>
    <w:r w:rsidR="00ED7CD9">
      <w:rPr>
        <w:rFonts w:ascii="Times New Roman" w:hAnsi="Times New Roman"/>
        <w:b/>
        <w:color w:val="003399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6E" w:rsidRDefault="00AE556E">
      <w:r>
        <w:separator/>
      </w:r>
    </w:p>
  </w:footnote>
  <w:footnote w:type="continuationSeparator" w:id="0">
    <w:p w:rsidR="00AE556E" w:rsidRDefault="00AE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6" w:rsidRDefault="003726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45720</wp:posOffset>
          </wp:positionV>
          <wp:extent cx="2666365" cy="902970"/>
          <wp:effectExtent l="0" t="0" r="0" b="0"/>
          <wp:wrapNone/>
          <wp:docPr id="5" name="Immagine 5" descr="Logo OM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OMC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C4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2.5pt;margin-top:8.85pt;width:267.9pt;height:86.5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" stroked="f">
          <v:textbox style="mso-fit-shape-to-text:t">
            <w:txbxContent>
              <w:p w:rsidR="00A96F96" w:rsidRPr="002D156E" w:rsidRDefault="003C65CE" w:rsidP="00A96F96">
                <w:pPr>
                  <w:jc w:val="center"/>
                  <w:rPr>
                    <w:rFonts w:ascii="Calibri" w:hAnsi="Calibri" w:cs="Calibri"/>
                    <w:color w:val="1F497D"/>
                    <w:sz w:val="48"/>
                    <w:szCs w:val="48"/>
                  </w:rPr>
                </w:pPr>
                <w:r w:rsidRPr="002D156E">
                  <w:rPr>
                    <w:rFonts w:ascii="Calibri" w:hAnsi="Calibri" w:cs="Calibri"/>
                    <w:b/>
                    <w:color w:val="1F497D"/>
                    <w:sz w:val="48"/>
                    <w:szCs w:val="48"/>
                  </w:rPr>
                  <w:t>Comunicato Stampa</w:t>
                </w:r>
              </w:p>
              <w:p w:rsidR="00A96F96" w:rsidRPr="002D156E" w:rsidRDefault="00A96F96" w:rsidP="00A96F96">
                <w:pPr>
                  <w:jc w:val="center"/>
                  <w:rPr>
                    <w:rFonts w:ascii="Calibri" w:hAnsi="Calibri" w:cs="Calibri"/>
                    <w:color w:val="1F497D"/>
                  </w:rPr>
                </w:pPr>
              </w:p>
              <w:p w:rsidR="00A96F96" w:rsidRPr="002D156E" w:rsidRDefault="00A96F96" w:rsidP="00A96F96">
                <w:pPr>
                  <w:jc w:val="center"/>
                  <w:rPr>
                    <w:rFonts w:ascii="Calibri" w:hAnsi="Calibri" w:cs="Calibri"/>
                    <w:color w:val="1F497D"/>
                    <w:sz w:val="16"/>
                    <w:szCs w:val="16"/>
                  </w:rPr>
                </w:pPr>
              </w:p>
              <w:p w:rsidR="00A96F96" w:rsidRPr="002D156E" w:rsidRDefault="003C65CE" w:rsidP="00A96F96">
                <w:pPr>
                  <w:jc w:val="center"/>
                  <w:rPr>
                    <w:rFonts w:ascii="Calibri" w:hAnsi="Calibri" w:cs="Calibri"/>
                    <w:color w:val="1F497D"/>
                    <w:sz w:val="22"/>
                    <w:szCs w:val="22"/>
                  </w:rPr>
                </w:pPr>
                <w:r w:rsidRPr="002D156E">
                  <w:rPr>
                    <w:rFonts w:ascii="Calibri" w:hAnsi="Calibri" w:cs="Calibri"/>
                    <w:color w:val="1F497D"/>
                    <w:sz w:val="22"/>
                    <w:szCs w:val="22"/>
                  </w:rPr>
                  <w:t xml:space="preserve">Relazioni con i media: </w:t>
                </w:r>
                <w:r w:rsidRPr="002D156E">
                  <w:rPr>
                    <w:rFonts w:ascii="Calibri" w:hAnsi="Calibri" w:cs="Calibri"/>
                    <w:b/>
                    <w:color w:val="1F497D"/>
                    <w:sz w:val="24"/>
                    <w:szCs w:val="24"/>
                  </w:rPr>
                  <w:t>Flavio Massimo Amadio</w:t>
                </w:r>
              </w:p>
              <w:p w:rsidR="00A96F96" w:rsidRPr="002D156E" w:rsidRDefault="003C65CE" w:rsidP="00A96F96">
                <w:pPr>
                  <w:jc w:val="center"/>
                  <w:rPr>
                    <w:rFonts w:ascii="Calibri" w:hAnsi="Calibri" w:cs="Calibri"/>
                    <w:color w:val="1F497D"/>
                    <w:sz w:val="22"/>
                    <w:szCs w:val="22"/>
                  </w:rPr>
                </w:pPr>
                <w:r w:rsidRPr="002D156E">
                  <w:rPr>
                    <w:rFonts w:ascii="Calibri" w:hAnsi="Calibri" w:cs="Calibri"/>
                    <w:color w:val="1F497D"/>
                    <w:sz w:val="22"/>
                    <w:szCs w:val="22"/>
                  </w:rPr>
                  <w:t xml:space="preserve">349.56.49.613 - </w:t>
                </w:r>
                <w:hyperlink r:id="rId2" w:history="1">
                  <w:r w:rsidRPr="002D156E">
                    <w:rPr>
                      <w:rStyle w:val="Collegamentoipertestuale"/>
                      <w:rFonts w:ascii="Calibri" w:hAnsi="Calibri" w:cs="Calibri"/>
                      <w:color w:val="1F497D"/>
                      <w:sz w:val="22"/>
                      <w:szCs w:val="22"/>
                    </w:rPr>
                    <w:t>fm.amadio@ordinemediciroma.it</w:t>
                  </w:r>
                </w:hyperlink>
              </w:p>
            </w:txbxContent>
          </v:textbox>
        </v:shape>
      </w:pict>
    </w:r>
  </w:p>
  <w:p w:rsidR="00A96F96" w:rsidRDefault="00A96F96">
    <w:pPr>
      <w:pStyle w:val="Intestazione"/>
    </w:pPr>
  </w:p>
  <w:p w:rsidR="00A96F96" w:rsidRDefault="00A96F96">
    <w:pPr>
      <w:pStyle w:val="Intestazione"/>
    </w:pPr>
  </w:p>
  <w:p w:rsidR="00A96F96" w:rsidRDefault="00A96F96">
    <w:pPr>
      <w:pStyle w:val="Intestazione"/>
    </w:pPr>
  </w:p>
  <w:p w:rsidR="00A96F96" w:rsidRDefault="00A96F96">
    <w:pPr>
      <w:pStyle w:val="Intestazione"/>
    </w:pPr>
  </w:p>
  <w:p w:rsidR="00A96F96" w:rsidRPr="0012523B" w:rsidRDefault="00A96F96">
    <w:pPr>
      <w:pStyle w:val="Intestazione"/>
      <w:rPr>
        <w:sz w:val="18"/>
        <w:szCs w:val="18"/>
      </w:rPr>
    </w:pPr>
  </w:p>
  <w:p w:rsidR="00A96F96" w:rsidRPr="0012523B" w:rsidRDefault="003C65CE" w:rsidP="00A96F96">
    <w:pPr>
      <w:pStyle w:val="Intestazione"/>
      <w:ind w:right="5942"/>
      <w:jc w:val="both"/>
      <w:rPr>
        <w:rFonts w:cs="Calibri"/>
        <w:color w:val="003399"/>
        <w:sz w:val="20"/>
        <w:szCs w:val="20"/>
      </w:rPr>
    </w:pPr>
    <w:r w:rsidRPr="0012523B">
      <w:rPr>
        <w:rFonts w:cs="Calibri"/>
        <w:color w:val="003399"/>
        <w:sz w:val="20"/>
        <w:szCs w:val="20"/>
      </w:rPr>
      <w:t>Ente di Diritto Pubblico (D.L.C.P.S. 13/9/1946 n. 33)</w:t>
    </w:r>
  </w:p>
  <w:p w:rsidR="00A96F96" w:rsidRPr="00A971BB" w:rsidRDefault="00A96F96" w:rsidP="00A96F96">
    <w:pPr>
      <w:pStyle w:val="Intestazione"/>
      <w:ind w:right="6213"/>
      <w:jc w:val="center"/>
      <w:rPr>
        <w:rFonts w:cs="Calibri"/>
        <w:color w:val="1F497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963"/>
    <w:multiLevelType w:val="hybridMultilevel"/>
    <w:tmpl w:val="7782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7450"/>
    <w:rsid w:val="000006F4"/>
    <w:rsid w:val="000074E0"/>
    <w:rsid w:val="00015DAE"/>
    <w:rsid w:val="00016EF7"/>
    <w:rsid w:val="00020D55"/>
    <w:rsid w:val="000415C3"/>
    <w:rsid w:val="00046C88"/>
    <w:rsid w:val="00054565"/>
    <w:rsid w:val="00054D80"/>
    <w:rsid w:val="00055D95"/>
    <w:rsid w:val="00062DA2"/>
    <w:rsid w:val="000C03E3"/>
    <w:rsid w:val="000D6AFB"/>
    <w:rsid w:val="000D6B1C"/>
    <w:rsid w:val="000E052C"/>
    <w:rsid w:val="000F1ADF"/>
    <w:rsid w:val="000F7063"/>
    <w:rsid w:val="001042DB"/>
    <w:rsid w:val="0011264D"/>
    <w:rsid w:val="001230E8"/>
    <w:rsid w:val="001324B7"/>
    <w:rsid w:val="001579CE"/>
    <w:rsid w:val="00172D04"/>
    <w:rsid w:val="00190859"/>
    <w:rsid w:val="001A7450"/>
    <w:rsid w:val="001C4D35"/>
    <w:rsid w:val="001D57BF"/>
    <w:rsid w:val="001F0334"/>
    <w:rsid w:val="00206A65"/>
    <w:rsid w:val="00210C10"/>
    <w:rsid w:val="002161EF"/>
    <w:rsid w:val="0022321B"/>
    <w:rsid w:val="00226C6A"/>
    <w:rsid w:val="0023372E"/>
    <w:rsid w:val="002536E3"/>
    <w:rsid w:val="00294FA9"/>
    <w:rsid w:val="00296C41"/>
    <w:rsid w:val="002B1813"/>
    <w:rsid w:val="002B3BF0"/>
    <w:rsid w:val="002D156E"/>
    <w:rsid w:val="002D70D9"/>
    <w:rsid w:val="002E1F36"/>
    <w:rsid w:val="002E490E"/>
    <w:rsid w:val="002E4950"/>
    <w:rsid w:val="00306612"/>
    <w:rsid w:val="0030710C"/>
    <w:rsid w:val="00310270"/>
    <w:rsid w:val="0031373B"/>
    <w:rsid w:val="003248CD"/>
    <w:rsid w:val="003509E7"/>
    <w:rsid w:val="00372668"/>
    <w:rsid w:val="00376A25"/>
    <w:rsid w:val="003779FF"/>
    <w:rsid w:val="0038044B"/>
    <w:rsid w:val="00386A84"/>
    <w:rsid w:val="00391051"/>
    <w:rsid w:val="003B030A"/>
    <w:rsid w:val="003B52A5"/>
    <w:rsid w:val="003C08D0"/>
    <w:rsid w:val="003C65CE"/>
    <w:rsid w:val="003E45E2"/>
    <w:rsid w:val="003E547C"/>
    <w:rsid w:val="00401A98"/>
    <w:rsid w:val="00402333"/>
    <w:rsid w:val="00404333"/>
    <w:rsid w:val="0040458B"/>
    <w:rsid w:val="00405C4E"/>
    <w:rsid w:val="004147D5"/>
    <w:rsid w:val="004278F7"/>
    <w:rsid w:val="004521A8"/>
    <w:rsid w:val="00455221"/>
    <w:rsid w:val="00460DEA"/>
    <w:rsid w:val="00470E02"/>
    <w:rsid w:val="00471E1F"/>
    <w:rsid w:val="004A6340"/>
    <w:rsid w:val="004A6745"/>
    <w:rsid w:val="004C7E57"/>
    <w:rsid w:val="004E5F6D"/>
    <w:rsid w:val="004F1292"/>
    <w:rsid w:val="00511863"/>
    <w:rsid w:val="0051251A"/>
    <w:rsid w:val="00520289"/>
    <w:rsid w:val="00522E07"/>
    <w:rsid w:val="005315EA"/>
    <w:rsid w:val="00543423"/>
    <w:rsid w:val="00551324"/>
    <w:rsid w:val="005531FC"/>
    <w:rsid w:val="00554D7B"/>
    <w:rsid w:val="005675F8"/>
    <w:rsid w:val="00584D19"/>
    <w:rsid w:val="0058714A"/>
    <w:rsid w:val="00594765"/>
    <w:rsid w:val="005A0AB5"/>
    <w:rsid w:val="005A0DB7"/>
    <w:rsid w:val="005B582C"/>
    <w:rsid w:val="005B61A1"/>
    <w:rsid w:val="005C08D4"/>
    <w:rsid w:val="005C4555"/>
    <w:rsid w:val="005F0FF2"/>
    <w:rsid w:val="00600625"/>
    <w:rsid w:val="006075C8"/>
    <w:rsid w:val="00615CFF"/>
    <w:rsid w:val="00616133"/>
    <w:rsid w:val="00634310"/>
    <w:rsid w:val="00635954"/>
    <w:rsid w:val="00640B5E"/>
    <w:rsid w:val="00643321"/>
    <w:rsid w:val="0065507D"/>
    <w:rsid w:val="00682759"/>
    <w:rsid w:val="00686DA8"/>
    <w:rsid w:val="006B71B2"/>
    <w:rsid w:val="006F53BE"/>
    <w:rsid w:val="007101E5"/>
    <w:rsid w:val="00712807"/>
    <w:rsid w:val="007169D5"/>
    <w:rsid w:val="00716AAF"/>
    <w:rsid w:val="00723F06"/>
    <w:rsid w:val="00745BE9"/>
    <w:rsid w:val="00762868"/>
    <w:rsid w:val="00770C89"/>
    <w:rsid w:val="00777F54"/>
    <w:rsid w:val="00790978"/>
    <w:rsid w:val="00790D33"/>
    <w:rsid w:val="00794FE9"/>
    <w:rsid w:val="007A711D"/>
    <w:rsid w:val="007A786C"/>
    <w:rsid w:val="007C252E"/>
    <w:rsid w:val="007C6A66"/>
    <w:rsid w:val="007C75D2"/>
    <w:rsid w:val="007D4195"/>
    <w:rsid w:val="007F0D17"/>
    <w:rsid w:val="007F15B1"/>
    <w:rsid w:val="008213AC"/>
    <w:rsid w:val="008412A3"/>
    <w:rsid w:val="008528B6"/>
    <w:rsid w:val="00855203"/>
    <w:rsid w:val="00864BA4"/>
    <w:rsid w:val="00866C24"/>
    <w:rsid w:val="00871539"/>
    <w:rsid w:val="00875161"/>
    <w:rsid w:val="00882E48"/>
    <w:rsid w:val="008A126A"/>
    <w:rsid w:val="008A4C37"/>
    <w:rsid w:val="008E698D"/>
    <w:rsid w:val="008F5BE4"/>
    <w:rsid w:val="00900EEA"/>
    <w:rsid w:val="00906293"/>
    <w:rsid w:val="00914D69"/>
    <w:rsid w:val="00921E1A"/>
    <w:rsid w:val="009341A2"/>
    <w:rsid w:val="009572C0"/>
    <w:rsid w:val="00961F9A"/>
    <w:rsid w:val="0097696F"/>
    <w:rsid w:val="009B3ACB"/>
    <w:rsid w:val="009C2391"/>
    <w:rsid w:val="009D0477"/>
    <w:rsid w:val="009E02D9"/>
    <w:rsid w:val="00A020FD"/>
    <w:rsid w:val="00A57A31"/>
    <w:rsid w:val="00A627E7"/>
    <w:rsid w:val="00A81627"/>
    <w:rsid w:val="00A87DA5"/>
    <w:rsid w:val="00A96F96"/>
    <w:rsid w:val="00AA33BB"/>
    <w:rsid w:val="00AC70C4"/>
    <w:rsid w:val="00AD416B"/>
    <w:rsid w:val="00AE1E04"/>
    <w:rsid w:val="00AE556E"/>
    <w:rsid w:val="00AE581A"/>
    <w:rsid w:val="00AF180E"/>
    <w:rsid w:val="00B025DC"/>
    <w:rsid w:val="00B11BE9"/>
    <w:rsid w:val="00B34E20"/>
    <w:rsid w:val="00B41398"/>
    <w:rsid w:val="00B4577E"/>
    <w:rsid w:val="00B57559"/>
    <w:rsid w:val="00B61BAE"/>
    <w:rsid w:val="00B636FB"/>
    <w:rsid w:val="00B66A8E"/>
    <w:rsid w:val="00B86B9C"/>
    <w:rsid w:val="00B939D0"/>
    <w:rsid w:val="00BB0A5A"/>
    <w:rsid w:val="00BD017B"/>
    <w:rsid w:val="00BD261A"/>
    <w:rsid w:val="00BD5133"/>
    <w:rsid w:val="00C01089"/>
    <w:rsid w:val="00C03268"/>
    <w:rsid w:val="00C11DC5"/>
    <w:rsid w:val="00C207D6"/>
    <w:rsid w:val="00C27831"/>
    <w:rsid w:val="00C27862"/>
    <w:rsid w:val="00C31CF3"/>
    <w:rsid w:val="00C44BA6"/>
    <w:rsid w:val="00C556C2"/>
    <w:rsid w:val="00C60E03"/>
    <w:rsid w:val="00C751E4"/>
    <w:rsid w:val="00C916EE"/>
    <w:rsid w:val="00CA62E7"/>
    <w:rsid w:val="00CB18E5"/>
    <w:rsid w:val="00CB2D14"/>
    <w:rsid w:val="00CB2DE1"/>
    <w:rsid w:val="00CB3261"/>
    <w:rsid w:val="00CB4806"/>
    <w:rsid w:val="00CC05C6"/>
    <w:rsid w:val="00CE5303"/>
    <w:rsid w:val="00CF674E"/>
    <w:rsid w:val="00D04963"/>
    <w:rsid w:val="00D07946"/>
    <w:rsid w:val="00D12F85"/>
    <w:rsid w:val="00D13286"/>
    <w:rsid w:val="00D4152B"/>
    <w:rsid w:val="00D44AE4"/>
    <w:rsid w:val="00D44DAE"/>
    <w:rsid w:val="00D47E51"/>
    <w:rsid w:val="00D52C9D"/>
    <w:rsid w:val="00D54426"/>
    <w:rsid w:val="00D71D2F"/>
    <w:rsid w:val="00D80F71"/>
    <w:rsid w:val="00D86A24"/>
    <w:rsid w:val="00D97770"/>
    <w:rsid w:val="00DA05CB"/>
    <w:rsid w:val="00DC17E9"/>
    <w:rsid w:val="00DD3801"/>
    <w:rsid w:val="00DD7436"/>
    <w:rsid w:val="00DE62E8"/>
    <w:rsid w:val="00DE6833"/>
    <w:rsid w:val="00DF2139"/>
    <w:rsid w:val="00E021B7"/>
    <w:rsid w:val="00E06DD5"/>
    <w:rsid w:val="00E241A9"/>
    <w:rsid w:val="00E30E99"/>
    <w:rsid w:val="00E33EF9"/>
    <w:rsid w:val="00E5366E"/>
    <w:rsid w:val="00E70F1F"/>
    <w:rsid w:val="00E7242D"/>
    <w:rsid w:val="00E861BE"/>
    <w:rsid w:val="00E95F8D"/>
    <w:rsid w:val="00ED14F8"/>
    <w:rsid w:val="00ED7CD9"/>
    <w:rsid w:val="00EE1C40"/>
    <w:rsid w:val="00EE51FE"/>
    <w:rsid w:val="00EF012F"/>
    <w:rsid w:val="00EF4EC4"/>
    <w:rsid w:val="00EF7045"/>
    <w:rsid w:val="00F10E08"/>
    <w:rsid w:val="00F1476F"/>
    <w:rsid w:val="00F2534C"/>
    <w:rsid w:val="00F2538B"/>
    <w:rsid w:val="00F416B6"/>
    <w:rsid w:val="00F443CD"/>
    <w:rsid w:val="00F52CBA"/>
    <w:rsid w:val="00F543B5"/>
    <w:rsid w:val="00F60524"/>
    <w:rsid w:val="00F61915"/>
    <w:rsid w:val="00F75A04"/>
    <w:rsid w:val="00F80456"/>
    <w:rsid w:val="00FA0487"/>
    <w:rsid w:val="00FA66C5"/>
    <w:rsid w:val="00FE30AE"/>
    <w:rsid w:val="00FE368E"/>
    <w:rsid w:val="00FE4A7E"/>
    <w:rsid w:val="00FF103D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45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7450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A745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7450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A7450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1A7450"/>
    <w:rPr>
      <w:color w:val="0000FF"/>
      <w:u w:val="single"/>
    </w:rPr>
  </w:style>
  <w:style w:type="paragraph" w:customStyle="1" w:styleId="Stile">
    <w:name w:val="Stile"/>
    <w:rsid w:val="001A74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1A7450"/>
    <w:pPr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1A7450"/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Default">
    <w:name w:val="Default"/>
    <w:rsid w:val="00460D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44DA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basedOn w:val="Normale"/>
    <w:rsid w:val="00762868"/>
    <w:pPr>
      <w:overflowPunct/>
      <w:autoSpaceDE/>
      <w:adjustRightInd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FE4A7E"/>
    <w:rPr>
      <w:b/>
      <w:bCs/>
    </w:rPr>
  </w:style>
  <w:style w:type="character" w:styleId="Rimandocommento">
    <w:name w:val="annotation reference"/>
    <w:uiPriority w:val="99"/>
    <w:semiHidden/>
    <w:unhideWhenUsed/>
    <w:rsid w:val="00522E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E07"/>
  </w:style>
  <w:style w:type="character" w:customStyle="1" w:styleId="TestocommentoCarattere">
    <w:name w:val="Testo commento Carattere"/>
    <w:link w:val="Testocommento"/>
    <w:uiPriority w:val="99"/>
    <w:semiHidden/>
    <w:rsid w:val="00522E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E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22E0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ParaAttribute9">
    <w:name w:val="ParaAttribute9"/>
    <w:rsid w:val="004C7E57"/>
    <w:pPr>
      <w:widowControl w:val="0"/>
      <w:wordWrap w:val="0"/>
      <w:overflowPunct w:val="0"/>
      <w:ind w:left="993"/>
      <w:jc w:val="center"/>
    </w:pPr>
    <w:rPr>
      <w:rFonts w:ascii="Times New Roman" w:eastAsia="Batang" w:hAnsi="Times New Roman"/>
    </w:rPr>
  </w:style>
  <w:style w:type="character" w:customStyle="1" w:styleId="CharAttribute25">
    <w:name w:val="CharAttribute25"/>
    <w:rsid w:val="004C7E57"/>
    <w:rPr>
      <w:rFonts w:ascii="Calibri" w:eastAsia="Calibri" w:hAnsi="Calibri"/>
      <w:color w:val="002060"/>
      <w:sz w:val="24"/>
    </w:rPr>
  </w:style>
  <w:style w:type="character" w:customStyle="1" w:styleId="CharAttribute27">
    <w:name w:val="CharAttribute27"/>
    <w:rsid w:val="004C7E57"/>
    <w:rPr>
      <w:rFonts w:ascii="Calibri" w:eastAsia="Calibri" w:hAnsi="Calibri"/>
      <w:b/>
      <w:color w:val="002060"/>
      <w:sz w:val="27"/>
    </w:rPr>
  </w:style>
  <w:style w:type="character" w:customStyle="1" w:styleId="CharAttribute28">
    <w:name w:val="CharAttribute28"/>
    <w:rsid w:val="004C7E57"/>
    <w:rPr>
      <w:rFonts w:ascii="Calibri" w:eastAsia="Calibri" w:hAnsi="Calibri"/>
      <w:i/>
      <w:color w:val="002060"/>
      <w:sz w:val="24"/>
    </w:rPr>
  </w:style>
  <w:style w:type="character" w:customStyle="1" w:styleId="CharAttribute30">
    <w:name w:val="CharAttribute30"/>
    <w:rsid w:val="004C7E57"/>
    <w:rPr>
      <w:rFonts w:ascii="Calibri" w:eastAsia="Calibri" w:hAnsi="Calibri"/>
      <w:color w:val="002060"/>
      <w:sz w:val="22"/>
    </w:rPr>
  </w:style>
  <w:style w:type="paragraph" w:styleId="Nessunaspaziatura">
    <w:name w:val="No Spacing"/>
    <w:uiPriority w:val="1"/>
    <w:qFormat/>
    <w:rsid w:val="004C7E5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paragraph" w:styleId="NormaleWeb">
    <w:name w:val="Normal (Web)"/>
    <w:basedOn w:val="Normale"/>
    <w:uiPriority w:val="99"/>
    <w:unhideWhenUsed/>
    <w:rsid w:val="00EF7045"/>
    <w:pPr>
      <w:overflowPunct/>
      <w:autoSpaceDE/>
      <w:autoSpaceDN/>
      <w:adjustRightInd/>
      <w:textAlignment w:val="baseline"/>
    </w:pPr>
    <w:rPr>
      <w:sz w:val="24"/>
      <w:szCs w:val="24"/>
    </w:rPr>
  </w:style>
  <w:style w:type="character" w:styleId="Enfasicorsivo">
    <w:name w:val="Emphasis"/>
    <w:uiPriority w:val="20"/>
    <w:qFormat/>
    <w:rsid w:val="00EF7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dinemediciroma.it" TargetMode="External"/><Relationship Id="rId2" Type="http://schemas.openxmlformats.org/officeDocument/2006/relationships/hyperlink" Target="http://www.ordinemediciroma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rotocollo@pec.omceoro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.amadio@ordinemedicirom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 Roma</Company>
  <LinksUpToDate>false</LinksUpToDate>
  <CharactersWithSpaces>3226</CharactersWithSpaces>
  <SharedDoc>false</SharedDoc>
  <HLinks>
    <vt:vector size="24" baseType="variant"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mailto:protocollo@pec.omceoroma.it</vt:lpwstr>
      </vt:variant>
      <vt:variant>
        <vt:lpwstr/>
      </vt:variant>
      <vt:variant>
        <vt:i4>5308533</vt:i4>
      </vt:variant>
      <vt:variant>
        <vt:i4>9</vt:i4>
      </vt:variant>
      <vt:variant>
        <vt:i4>0</vt:i4>
      </vt:variant>
      <vt:variant>
        <vt:i4>5</vt:i4>
      </vt:variant>
      <vt:variant>
        <vt:lpwstr>mailto:info@ordinemediciroma.it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http://www.ordinemediciroma.it/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mailto:fm.amadio@ordinemediciroma.it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PC</cp:lastModifiedBy>
  <cp:revision>2</cp:revision>
  <cp:lastPrinted>2016-10-04T09:16:00Z</cp:lastPrinted>
  <dcterms:created xsi:type="dcterms:W3CDTF">2016-11-11T11:33:00Z</dcterms:created>
  <dcterms:modified xsi:type="dcterms:W3CDTF">2016-11-11T11:33:00Z</dcterms:modified>
</cp:coreProperties>
</file>